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B4B6" w14:textId="77777777" w:rsidR="00103641" w:rsidRPr="00DB3274" w:rsidRDefault="00103641" w:rsidP="00DB3274">
      <w:pPr>
        <w:spacing w:after="120" w:line="240" w:lineRule="auto"/>
        <w:jc w:val="center"/>
        <w:rPr>
          <w:rFonts w:ascii="Times New Roman" w:eastAsia="Times New Roman" w:hAnsi="Times New Roman" w:cs="Times New Roman"/>
          <w:b/>
          <w:sz w:val="24"/>
          <w:szCs w:val="24"/>
          <w:lang w:eastAsia="tr-TR"/>
        </w:rPr>
      </w:pPr>
      <w:r w:rsidRPr="00DB3274">
        <w:rPr>
          <w:rFonts w:ascii="Times New Roman" w:eastAsia="Times New Roman" w:hAnsi="Times New Roman" w:cs="Times New Roman"/>
          <w:b/>
          <w:sz w:val="24"/>
          <w:szCs w:val="24"/>
          <w:lang w:eastAsia="tr-TR"/>
        </w:rPr>
        <w:t xml:space="preserve">HASAN KALYONCU </w:t>
      </w:r>
      <w:r w:rsidRPr="00DB3274">
        <w:rPr>
          <w:rFonts w:ascii="Times New Roman" w:eastAsia="Times New Roman" w:hAnsi="Times New Roman" w:cs="Times New Roman"/>
          <w:b/>
          <w:bCs/>
          <w:sz w:val="24"/>
          <w:szCs w:val="24"/>
          <w:lang w:eastAsia="tr-TR"/>
        </w:rPr>
        <w:t>ÜNİVERSİTESİ</w:t>
      </w:r>
    </w:p>
    <w:p w14:paraId="35497ABE" w14:textId="4598875A" w:rsidR="00103641" w:rsidRDefault="00103641" w:rsidP="00DB3274">
      <w:pPr>
        <w:spacing w:after="120" w:line="240" w:lineRule="auto"/>
        <w:jc w:val="center"/>
        <w:rPr>
          <w:rFonts w:ascii="Times New Roman" w:eastAsia="Times New Roman" w:hAnsi="Times New Roman" w:cs="Times New Roman"/>
          <w:b/>
          <w:bCs/>
          <w:sz w:val="24"/>
          <w:szCs w:val="24"/>
          <w:lang w:eastAsia="tr-TR"/>
        </w:rPr>
      </w:pPr>
      <w:r w:rsidRPr="00DB3274">
        <w:rPr>
          <w:rFonts w:ascii="Times New Roman" w:eastAsia="Times New Roman" w:hAnsi="Times New Roman" w:cs="Times New Roman"/>
          <w:b/>
          <w:bCs/>
          <w:sz w:val="24"/>
          <w:szCs w:val="24"/>
          <w:lang w:eastAsia="tr-TR"/>
        </w:rPr>
        <w:t>MUAFİYET VE İNTİBAK İŞLEMLERİ YÖNERGESİ</w:t>
      </w:r>
    </w:p>
    <w:p w14:paraId="33EF28B0"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Amaç</w:t>
      </w:r>
    </w:p>
    <w:p w14:paraId="3D4683B0" w14:textId="02E648E1" w:rsidR="008A787A"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MADDE 1 – </w:t>
      </w: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Bu Yönergenin amacı; Hasan Kalyoncu Üniversitesine kayıt hakkı kazanan öğrencilerin daha önce, öğrenim gördükleri ön lisans, lisans veya lisansüstü programları kapsamında Hasan Kalyoncu Üniversitesi dahil olmak üzere Yükseköğretim Kurulu Başkanlığınca tanınan veya denkliği kabul edilen herhangi bir Yükseköğretim Kurumundan alıp başarılı olduğu derslerin muafiyet ve yarıyıl/yıl intibak esaslarını belirlemektir.</w:t>
      </w:r>
    </w:p>
    <w:p w14:paraId="4BB6E554" w14:textId="267AC075" w:rsidR="00103641" w:rsidRPr="00DB3274" w:rsidRDefault="00103641" w:rsidP="00AE5A85">
      <w:pPr>
        <w:keepNext/>
        <w:tabs>
          <w:tab w:val="left" w:pos="7845"/>
        </w:tabs>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Kapsam</w:t>
      </w:r>
      <w:r w:rsidR="00AE5A85">
        <w:rPr>
          <w:rFonts w:ascii="Times New Roman" w:eastAsia="Times New Roman" w:hAnsi="Times New Roman" w:cs="Times New Roman"/>
          <w:b/>
          <w:sz w:val="24"/>
          <w:szCs w:val="24"/>
          <w:shd w:val="clear" w:color="auto" w:fill="FFFFFF"/>
          <w:lang w:eastAsia="tr-TR"/>
        </w:rPr>
        <w:tab/>
      </w:r>
    </w:p>
    <w:p w14:paraId="4288A840"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MADDE 2 – </w:t>
      </w:r>
      <w:r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b/>
          <w:bCs/>
          <w:sz w:val="24"/>
          <w:szCs w:val="24"/>
          <w:lang w:eastAsia="tr-TR"/>
        </w:rPr>
        <w:t xml:space="preserve"> </w:t>
      </w:r>
      <w:r w:rsidRPr="00DB3274">
        <w:rPr>
          <w:rFonts w:ascii="Times New Roman" w:eastAsia="Times New Roman" w:hAnsi="Times New Roman" w:cs="Times New Roman"/>
          <w:sz w:val="24"/>
          <w:szCs w:val="24"/>
          <w:lang w:eastAsia="tr-TR"/>
        </w:rPr>
        <w:t>Bu Yönerge;</w:t>
      </w:r>
    </w:p>
    <w:p w14:paraId="0FAB65D6" w14:textId="77777777" w:rsidR="00103641" w:rsidRPr="00DB3274" w:rsidRDefault="00103641" w:rsidP="00DB3274">
      <w:pPr>
        <w:pStyle w:val="ListeParagraf"/>
        <w:numPr>
          <w:ilvl w:val="0"/>
          <w:numId w:val="5"/>
        </w:numPr>
        <w:spacing w:after="120" w:line="240" w:lineRule="auto"/>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Yatay/dikey geçiş yaparak veya af kanunlarından yararlanarak Hasan Kalyoncu Üniversitesinde öğrenimlerine devam etmek isteyen öğrencilerin,</w:t>
      </w:r>
    </w:p>
    <w:p w14:paraId="3D6E7A44" w14:textId="77777777" w:rsidR="00103641" w:rsidRPr="00DB3274" w:rsidRDefault="00103641" w:rsidP="00DB3274">
      <w:pPr>
        <w:pStyle w:val="ListeParagraf"/>
        <w:numPr>
          <w:ilvl w:val="0"/>
          <w:numId w:val="5"/>
        </w:numPr>
        <w:spacing w:after="120" w:line="240" w:lineRule="auto"/>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Daha önce herhangi bir Yükseköğretim Kurumu’nda öğrenci iken ilişiği kesilen veya mezun iken Hasan Kalyoncu Üniversitesi’ne kayıt yaptırmaya hak kazanan öğrencilerin,</w:t>
      </w:r>
    </w:p>
    <w:p w14:paraId="52554D08" w14:textId="77777777" w:rsidR="00103641" w:rsidRPr="00DB3274" w:rsidRDefault="00103641" w:rsidP="00DB3274">
      <w:pPr>
        <w:pStyle w:val="ListeParagraf"/>
        <w:numPr>
          <w:ilvl w:val="0"/>
          <w:numId w:val="5"/>
        </w:numPr>
        <w:spacing w:after="120" w:line="240" w:lineRule="auto"/>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Hasan Kalyoncu Üniversitesi programlarından birinde kayıtlı bulunan öğrencilerden, Yükseköğretim Kurulu (YÖK) tarafından denkliği kabul edilen başka bir yükseköğretim kurumunun programlarında özel öğrenci statüsünde ders alanlar, ulusal ve uluslararası değişim programları ile yurt dışında öğrenim gören öğrencilerin, </w:t>
      </w:r>
    </w:p>
    <w:p w14:paraId="2D790CF1" w14:textId="77777777" w:rsidR="00103641" w:rsidRPr="00DB3274" w:rsidRDefault="00103641" w:rsidP="00DB3274">
      <w:pPr>
        <w:pStyle w:val="ListeParagraf"/>
        <w:numPr>
          <w:ilvl w:val="0"/>
          <w:numId w:val="5"/>
        </w:numPr>
        <w:spacing w:after="120" w:line="240" w:lineRule="auto"/>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Yukarıda belirtilen veya benzeri durumda olup öğrenimlerine devam edecek öğrencilerin, daha önce alıp, başarılı oldukları derslerden muafiyetleri, intibakları ve muafiyet sınavı yapılacak dersleri ile ilgili işlemleri kapsar.</w:t>
      </w:r>
    </w:p>
    <w:p w14:paraId="4200C858"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Dayanak</w:t>
      </w:r>
    </w:p>
    <w:p w14:paraId="3312A3CC"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MADDE 3 – </w:t>
      </w:r>
      <w:r w:rsidRPr="00DB3274">
        <w:rPr>
          <w:rFonts w:ascii="Times New Roman" w:eastAsia="Times New Roman" w:hAnsi="Times New Roman" w:cs="Times New Roman"/>
          <w:sz w:val="24"/>
          <w:szCs w:val="24"/>
          <w:lang w:eastAsia="tr-TR"/>
        </w:rPr>
        <w:t>(1) Bu Yönerge 2547 Sayılı Yükseköğretim Kanunu, Yükseköğretim Kurumları’nda Önlisans ve Lisans Düzeyindeki Programlar Arasında Geçiş, Çift Anadal, Yandal ile Kurumlar Arası Kredi Transferi Yapılması Esaslarına İlişkin Yönetmelik ile Hasan Kalyoncu Üniversitesi Lisansüstü Eğitim-Öğretim ve Sınav Yönetmeliği ve ilgili diğer mevzuat hükümlerine dayanılarak hazırlanmıştır.</w:t>
      </w:r>
    </w:p>
    <w:p w14:paraId="63C9A1D8"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Tanımlar</w:t>
      </w:r>
    </w:p>
    <w:p w14:paraId="4952D6E0"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MADDE 4 – </w:t>
      </w:r>
      <w:r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b/>
          <w:bCs/>
          <w:sz w:val="24"/>
          <w:szCs w:val="24"/>
          <w:lang w:eastAsia="tr-TR"/>
        </w:rPr>
        <w:t xml:space="preserve"> </w:t>
      </w:r>
      <w:r w:rsidRPr="00DB3274">
        <w:rPr>
          <w:rFonts w:ascii="Times New Roman" w:eastAsia="Times New Roman" w:hAnsi="Times New Roman" w:cs="Times New Roman"/>
          <w:sz w:val="24"/>
          <w:szCs w:val="24"/>
          <w:lang w:eastAsia="tr-TR"/>
        </w:rPr>
        <w:t>Yönergede geçen;</w:t>
      </w:r>
    </w:p>
    <w:p w14:paraId="0A0A2F70"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 a) İlgili Birim: Hasan Kalyoncu Üniversitesine bağlı Enstitü, Fakülte, Yüksekokul ve Meslek Yüksekokullarının Dekanlık/Müdürlüklerini,</w:t>
      </w:r>
    </w:p>
    <w:p w14:paraId="43CA89EB"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b) İntibak İşlemi: Hasan Kalyoncu Üniversitesi’ne kayıt hakkı kazanan öğrencilerin daha önce Hasan Kalyoncu Üniversitesi dâhil herhangi bir yükseköğretim kurumundan alıp başardığı ve muaf sayıldığı derslere göre devam edecekleri yarıyıl/yılı belirleme işlemini,</w:t>
      </w:r>
    </w:p>
    <w:p w14:paraId="4C19D8FB"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c) İntibak Komisyonu: İlgili dekanlık/müdürlük onayıyla diploma programlarında oluşturulan muafiyet ve intibak taleplerinin incelendiği en az üç öğretim elemanından oluşan komisyonunu,</w:t>
      </w:r>
    </w:p>
    <w:p w14:paraId="16A60282"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ç) Muafiyet: daha önce alınmış ve başarılmış ders/derslerin yerine, kredi ve içerik uyumuna göre müfredatta bulunan ders/derslerin denkliğinin kabul edilmesi durumunu,</w:t>
      </w:r>
    </w:p>
    <w:p w14:paraId="79BAE939"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d) Dönem: Yarıyıllık eğitim sistemine tabi bölümlerde güz ve bahar yarıyılını,</w:t>
      </w:r>
    </w:p>
    <w:p w14:paraId="12923229"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e) Üniversite: Hasan Kalyoncu Üniversitesini,</w:t>
      </w:r>
    </w:p>
    <w:p w14:paraId="0D9B0B84"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lastRenderedPageBreak/>
        <w:t xml:space="preserve">f) Yönetim Kurulu: İlgili akademik birimin Yönetim Kurulunu, </w:t>
      </w:r>
    </w:p>
    <w:p w14:paraId="10157869"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g) Üniversite Yönetim Kurulu: Hasan Kalyoncu Üniversitesi Yönetim Kurulunu,</w:t>
      </w:r>
    </w:p>
    <w:p w14:paraId="22B90320"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h) YÖK: Yükseköğretim Kurulunu,</w:t>
      </w:r>
    </w:p>
    <w:p w14:paraId="2EB9B832"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i) Senato: Hasan Kalyoncu Üniversitesi Senatosunu,</w:t>
      </w:r>
    </w:p>
    <w:p w14:paraId="25DC1A47"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j) Kredi: Üniversite Eğitim-Öğretim Sınav Yönetmeliklerinde tanımlanan krediyi,</w:t>
      </w:r>
    </w:p>
    <w:p w14:paraId="07E8CD8B"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k) Kontenjan: Önceden belirlenip ilan edilen öğrenci sayısını,</w:t>
      </w:r>
    </w:p>
    <w:p w14:paraId="0922065F"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l) GNO: Genel Not Ortalamasını,</w:t>
      </w:r>
    </w:p>
    <w:p w14:paraId="795B18D0"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m) DGS: Dikey Geçiş Sınavını,</w:t>
      </w:r>
    </w:p>
    <w:p w14:paraId="36D3ED82"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n) AKTS: Avrupa Kredi Transfer Sistemini,</w:t>
      </w:r>
    </w:p>
    <w:p w14:paraId="7B4B5722"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o) Özel Öğrenci: Bir yükseköğretim kurumunda kayıtlı öğrenci olup, farklı bir yükseköğretim ortamı, kültürü, kazanımı edinmek isteyen veya özel durumu, sağlık ve benzeri nedenlerle kayıtları kendi üniversitelerinde kalmak şartıyla farklı bir yükseköğretim kurumunda eğitime devam etme imkânı tanınan öğrenciyi,</w:t>
      </w:r>
    </w:p>
    <w:p w14:paraId="145ABB6D"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ifade eder.</w:t>
      </w:r>
    </w:p>
    <w:p w14:paraId="3F6ECBE3"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Başvuru esasları ve süresi</w:t>
      </w:r>
    </w:p>
    <w:p w14:paraId="189092D1"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MADDE 5 – (</w:t>
      </w:r>
      <w:r w:rsidRPr="00DB3274">
        <w:rPr>
          <w:rFonts w:ascii="Times New Roman" w:eastAsia="Times New Roman" w:hAnsi="Times New Roman" w:cs="Times New Roman"/>
          <w:sz w:val="24"/>
          <w:szCs w:val="24"/>
          <w:lang w:eastAsia="tr-TR"/>
        </w:rPr>
        <w:t>1) Hasan Kalyoncu Üniversitesi önlisans, lisans ve lisansüstü programlarına kayıt yaptıran öğrenciler,</w:t>
      </w:r>
    </w:p>
    <w:p w14:paraId="7D5D1D1C"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a) Kayıt yaptıkları yarıyılda daha önce öğrenim gördükleri yükseköğretim kurumlarında almış ve başarmış oldukları derslerden muaf olmak amacıyla, ilgili eğitim-öğretim yılı/yarıyılının ilk haftası sonuna kadar muafiyet başvurusu yapmakla mükelleftir. Süresi içinde yapılmayan muafiyet talepleri ve intibak işlemleri, ilgili birim yönetim kurulunca değerlendirmeye alınmaz. </w:t>
      </w:r>
    </w:p>
    <w:p w14:paraId="7832BC6C"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b) Zorunlu veya isteğe bağlı hazırlık sınıfında öğrenim gören öğrencilerin, hazırlık sınıfının tamamlanmasının ardından kayıtlı oldukları programa başladıkları eğitim öğretim yılının ilk haftası sonuna</w:t>
      </w:r>
      <w:r w:rsidRPr="00DB3274" w:rsidDel="00412F45">
        <w:rPr>
          <w:rFonts w:ascii="Times New Roman" w:eastAsia="Times New Roman" w:hAnsi="Times New Roman" w:cs="Times New Roman"/>
          <w:sz w:val="24"/>
          <w:szCs w:val="24"/>
          <w:lang w:eastAsia="tr-TR"/>
        </w:rPr>
        <w:t xml:space="preserve"> </w:t>
      </w:r>
      <w:r w:rsidRPr="00DB3274">
        <w:rPr>
          <w:rFonts w:ascii="Times New Roman" w:eastAsia="Times New Roman" w:hAnsi="Times New Roman" w:cs="Times New Roman"/>
          <w:sz w:val="24"/>
          <w:szCs w:val="24"/>
          <w:lang w:eastAsia="tr-TR"/>
        </w:rPr>
        <w:t>ilgili bölüm başkanlığına muafiyet ve intibak işlemleri için başvuru yapmaları gerekmektedir.</w:t>
      </w:r>
    </w:p>
    <w:p w14:paraId="4D7361D0"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(2) Öğrenci, Dekanlığa/Müdürlüğe muafiyet istedikleri dersleri belirten bir dilekçe ve ekine daha önce öğrenim gördüğü yükseköğretim kurumu tarafından onaylanmış (mühürlü, kaşeli ve imzalı) ders içerikleri ve not döküm belgesi (transkript) ile başvurmak zorundadır.</w:t>
      </w:r>
    </w:p>
    <w:p w14:paraId="5E7C35AA"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(3)</w:t>
      </w:r>
      <w:r w:rsidRPr="00DB3274">
        <w:rPr>
          <w:rFonts w:ascii="Times New Roman" w:eastAsia="Times New Roman" w:hAnsi="Times New Roman" w:cs="Times New Roman"/>
          <w:b/>
          <w:bCs/>
          <w:sz w:val="24"/>
          <w:szCs w:val="24"/>
          <w:lang w:eastAsia="tr-TR"/>
        </w:rPr>
        <w:t xml:space="preserve"> </w:t>
      </w:r>
      <w:r w:rsidRPr="00DB3274">
        <w:rPr>
          <w:rFonts w:ascii="Times New Roman" w:eastAsia="Times New Roman" w:hAnsi="Times New Roman" w:cs="Times New Roman"/>
          <w:sz w:val="24"/>
          <w:szCs w:val="24"/>
          <w:lang w:eastAsia="tr-TR"/>
        </w:rPr>
        <w:t xml:space="preserve">Öğrenciler, daha önce almış oldukları ve başarmış oldukları birden fazla derse karşılık muadil ders/derslerden muafiyet isteğinde bulunabilirler. </w:t>
      </w:r>
    </w:p>
    <w:p w14:paraId="5E239113"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(4) YÖK tarafından denkliği tanınmayan yurtdışındaki üniversitelerden alınan dersler için muafiyet ve intibak işlemleri yapılmaz.</w:t>
      </w:r>
    </w:p>
    <w:p w14:paraId="15816956" w14:textId="20D77EA3"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(5) </w:t>
      </w:r>
      <w:r w:rsidR="008A787A" w:rsidRPr="00DB3274">
        <w:rPr>
          <w:rFonts w:ascii="Times New Roman" w:eastAsia="Times New Roman" w:hAnsi="Times New Roman" w:cs="Times New Roman"/>
          <w:sz w:val="24"/>
          <w:szCs w:val="24"/>
          <w:lang w:eastAsia="tr-TR"/>
        </w:rPr>
        <w:t>Ön lisans ve lisans programlarında m</w:t>
      </w:r>
      <w:r w:rsidRPr="00DB3274">
        <w:rPr>
          <w:rFonts w:ascii="Times New Roman" w:eastAsia="Times New Roman" w:hAnsi="Times New Roman" w:cs="Times New Roman"/>
          <w:sz w:val="24"/>
          <w:szCs w:val="24"/>
          <w:lang w:eastAsia="tr-TR"/>
        </w:rPr>
        <w:t>uafiyet için ilgili dersten almış olduğu harf notunun CC ve üzeri olması gerekir.</w:t>
      </w:r>
      <w:r w:rsidR="008A787A" w:rsidRPr="00DB3274">
        <w:rPr>
          <w:rFonts w:ascii="Times New Roman" w:eastAsia="Times New Roman" w:hAnsi="Times New Roman" w:cs="Times New Roman"/>
          <w:sz w:val="24"/>
          <w:szCs w:val="24"/>
          <w:lang w:eastAsia="tr-TR"/>
        </w:rPr>
        <w:t xml:space="preserve"> Lisansüstü programlarda ise HKU </w:t>
      </w:r>
      <w:r w:rsidR="008A787A" w:rsidRPr="00DB3274">
        <w:rPr>
          <w:rFonts w:ascii="Times New Roman" w:hAnsi="Times New Roman" w:cs="Times New Roman"/>
          <w:sz w:val="24"/>
          <w:szCs w:val="24"/>
        </w:rPr>
        <w:t>Lisansüstü Yönetmeliğinde yer alan ders başarı notu karşılığı olan yüksek lisans düzeyinde en az CC, doktora düzeyinde ise en az CB ve üzerinde not alınarak başarılı olunmuş dersler muafiyet işlemine esas alınır.</w:t>
      </w:r>
    </w:p>
    <w:p w14:paraId="20B2BD25"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 xml:space="preserve">İntibak komisyonu </w:t>
      </w:r>
    </w:p>
    <w:p w14:paraId="040EF110"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sz w:val="24"/>
          <w:szCs w:val="24"/>
          <w:lang w:eastAsia="tr-TR"/>
        </w:rPr>
        <w:t>MADDE 6 –</w:t>
      </w:r>
      <w:r w:rsidRPr="00DB3274">
        <w:rPr>
          <w:rFonts w:ascii="Times New Roman" w:eastAsia="Times New Roman" w:hAnsi="Times New Roman" w:cs="Times New Roman"/>
          <w:sz w:val="24"/>
          <w:szCs w:val="24"/>
          <w:lang w:eastAsia="tr-TR"/>
        </w:rPr>
        <w:t xml:space="preserve"> (1) İntibak Komisyonu, ilgili birim bölüm/program başkanlıklarınca görevlendirilen en az üç öğretim elemanından oluşur. İntibak Komisyonu, öğrencinin muafiyet </w:t>
      </w:r>
      <w:r w:rsidRPr="00DB3274">
        <w:rPr>
          <w:rFonts w:ascii="Times New Roman" w:eastAsia="Times New Roman" w:hAnsi="Times New Roman" w:cs="Times New Roman"/>
          <w:sz w:val="24"/>
          <w:szCs w:val="24"/>
          <w:lang w:eastAsia="tr-TR"/>
        </w:rPr>
        <w:lastRenderedPageBreak/>
        <w:t xml:space="preserve">istediği derslerle ilgili incelemeyi yapmak, muafiyet ve intibak işlemlerini sonuçlandırmakla görevlidir. İntibak komisyon kararı, ilgili yönetim kurulunca değerlendirilerek karara bağlanır. </w:t>
      </w:r>
    </w:p>
    <w:p w14:paraId="4C42A444"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(2) Muafiyet ve intibak işlemleri, ilgili fakülte/yüksekokul bölüm başkanlığının, Dekanlığın/Müdürlüğün bilgisi dâhilinde oluşturduğu 3 öğretim elemanının yer aldığı Muafiyet ve İntibak Komisyonu tarafından yürütülür. MYO’da Muafiyet ve İntibak Komisyonu, ilgili Bölüm Başkanı, Program Sorumlusu ve intibak yapılacak dersin alanıyla ilgili bir öğretim elemanından oluşur.</w:t>
      </w:r>
    </w:p>
    <w:p w14:paraId="33A49A0C"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(3) Öğrencilerin muafiyet ve intibak işlemleri, ilgili birimler tarafından en geç başvuru süresinin bitiminden </w:t>
      </w:r>
      <w:r w:rsidRPr="00DB3274">
        <w:rPr>
          <w:rFonts w:ascii="Times New Roman" w:eastAsia="Times New Roman" w:hAnsi="Times New Roman" w:cs="Times New Roman"/>
          <w:b/>
          <w:sz w:val="24"/>
          <w:szCs w:val="24"/>
          <w:u w:val="single"/>
          <w:lang w:eastAsia="tr-TR"/>
        </w:rPr>
        <w:t>sonraki 1 (bir) hafta içinde</w:t>
      </w:r>
      <w:r w:rsidRPr="00DB3274">
        <w:rPr>
          <w:rFonts w:ascii="Times New Roman" w:eastAsia="Times New Roman" w:hAnsi="Times New Roman" w:cs="Times New Roman"/>
          <w:sz w:val="24"/>
          <w:szCs w:val="24"/>
          <w:lang w:eastAsia="tr-TR"/>
        </w:rPr>
        <w:t xml:space="preserve"> sonuçlandırılır.</w:t>
      </w:r>
    </w:p>
    <w:p w14:paraId="1355D593"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Muafiyet ve intibak ile ilgili hususlar</w:t>
      </w:r>
    </w:p>
    <w:p w14:paraId="5EEF2026" w14:textId="77777777" w:rsidR="00103641" w:rsidRPr="00DB3274" w:rsidRDefault="00103641" w:rsidP="00DB3274">
      <w:pPr>
        <w:spacing w:after="120" w:line="240" w:lineRule="auto"/>
        <w:ind w:firstLine="720"/>
        <w:jc w:val="both"/>
        <w:rPr>
          <w:rFonts w:ascii="Times New Roman" w:eastAsia="Times New Roman" w:hAnsi="Times New Roman" w:cs="Times New Roman"/>
          <w:bCs/>
          <w:sz w:val="24"/>
          <w:szCs w:val="24"/>
          <w:lang w:eastAsia="tr-TR"/>
        </w:rPr>
      </w:pPr>
      <w:r w:rsidRPr="00DB3274">
        <w:rPr>
          <w:rFonts w:ascii="Times New Roman" w:eastAsia="Times New Roman" w:hAnsi="Times New Roman" w:cs="Times New Roman"/>
          <w:b/>
          <w:bCs/>
          <w:sz w:val="24"/>
          <w:szCs w:val="24"/>
          <w:lang w:eastAsia="tr-TR"/>
        </w:rPr>
        <w:t xml:space="preserve">MADDE 7 – </w:t>
      </w:r>
      <w:r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b/>
          <w:bCs/>
          <w:sz w:val="24"/>
          <w:szCs w:val="24"/>
          <w:lang w:eastAsia="tr-TR"/>
        </w:rPr>
        <w:t xml:space="preserve"> </w:t>
      </w:r>
      <w:r w:rsidRPr="00DB3274">
        <w:rPr>
          <w:rFonts w:ascii="Times New Roman" w:eastAsia="Times New Roman" w:hAnsi="Times New Roman" w:cs="Times New Roman"/>
          <w:bCs/>
          <w:sz w:val="24"/>
          <w:szCs w:val="24"/>
          <w:lang w:eastAsia="tr-TR"/>
        </w:rPr>
        <w:t>Muafiyet ve intibak başvuruları, bölüm başkanlığı aracılığıyla, ilgili komisyonlara bildirilir.</w:t>
      </w:r>
    </w:p>
    <w:p w14:paraId="16B1310B" w14:textId="77777777" w:rsidR="00103641" w:rsidRPr="00DB3274" w:rsidRDefault="00103641" w:rsidP="00DB3274">
      <w:pPr>
        <w:spacing w:after="120" w:line="240" w:lineRule="auto"/>
        <w:ind w:firstLine="720"/>
        <w:jc w:val="both"/>
        <w:rPr>
          <w:rFonts w:ascii="Times New Roman" w:eastAsia="Times New Roman" w:hAnsi="Times New Roman" w:cs="Times New Roman"/>
          <w:bCs/>
          <w:sz w:val="24"/>
          <w:szCs w:val="24"/>
          <w:lang w:eastAsia="tr-TR"/>
        </w:rPr>
      </w:pPr>
      <w:r w:rsidRPr="00DB3274">
        <w:rPr>
          <w:rFonts w:ascii="Times New Roman" w:eastAsia="Times New Roman" w:hAnsi="Times New Roman" w:cs="Times New Roman"/>
          <w:bCs/>
          <w:sz w:val="24"/>
          <w:szCs w:val="24"/>
          <w:lang w:eastAsia="tr-TR"/>
        </w:rPr>
        <w:t xml:space="preserve">(2) </w:t>
      </w:r>
      <w:r w:rsidRPr="00DB3274">
        <w:rPr>
          <w:rFonts w:ascii="Times New Roman" w:eastAsia="Times New Roman" w:hAnsi="Times New Roman" w:cs="Times New Roman"/>
          <w:sz w:val="24"/>
          <w:szCs w:val="24"/>
          <w:lang w:eastAsia="tr-TR"/>
        </w:rPr>
        <w:t>Komisyon, muafiyet ve intibakla ilgili talepleri bu yönerge esaslarına göre inceler ve 1 (bir) hafta içerisinde sonuçlandırır. Muafiyet talep edilen tüm dersler için kararını bir defada verir ve her öğrenci için ayrı ayrı olmak üzere tutanak şeklinde bir eşdeğerlik çizelgesi hazırlar.</w:t>
      </w:r>
    </w:p>
    <w:p w14:paraId="26B3214E" w14:textId="77777777" w:rsidR="00103641" w:rsidRPr="00DB3274" w:rsidRDefault="00103641" w:rsidP="00DB3274">
      <w:pPr>
        <w:spacing w:after="120" w:line="240" w:lineRule="auto"/>
        <w:ind w:firstLine="720"/>
        <w:jc w:val="both"/>
        <w:rPr>
          <w:rFonts w:ascii="Times New Roman" w:eastAsia="Times New Roman" w:hAnsi="Times New Roman" w:cs="Times New Roman"/>
          <w:bCs/>
          <w:sz w:val="24"/>
          <w:szCs w:val="24"/>
          <w:lang w:eastAsia="tr-TR"/>
        </w:rPr>
      </w:pPr>
      <w:r w:rsidRPr="00DB3274">
        <w:rPr>
          <w:rFonts w:ascii="Times New Roman" w:eastAsia="Times New Roman" w:hAnsi="Times New Roman" w:cs="Times New Roman"/>
          <w:sz w:val="24"/>
          <w:szCs w:val="24"/>
          <w:lang w:eastAsia="tr-TR"/>
        </w:rPr>
        <w:t>(3) Komisyon, her öğrenci için ayrı ayrı rapor hazırlar ve hazırladığı raporu ilgili birime sunar. Her öğrenci için ayrı ayrı hazırlanan raporlar, ilgili Fakülte/Yüksekokul/MYO Yönetim Kurulu tarafında değerlendirilerek karara bağlanır. Alınan kararda, öğrencinin hangi yarıyıla intibak ettirildiği, muaf tutulan derslerin adları, kodları, kredisi, AKTS değeri ve başarı notları açıkça belirtilecek şekilde intibak formuna dönüştürülür. Yönetim Kurulu tarafından karara bağlanan intibak formları Öğrenci İşleri Müdürlüğü’ne gönderilir.</w:t>
      </w:r>
    </w:p>
    <w:p w14:paraId="41116A8D" w14:textId="77777777"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(4) Muafiyet talebi ilgili yönetim kurulu tarafından karara bağlanıncaya kadar öğrenciler, muafiyet talebinde bulunduğu ders/derslere devam ederler.</w:t>
      </w:r>
    </w:p>
    <w:p w14:paraId="54318C6C" w14:textId="77777777"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(5) Ortak zorunlu derslerden olan; Atatürk İlkeleri ve İnkılap Tarihi, Türk Dili ve Edebiyatı ile İngilizce derslerinin muafiyet taleplerinde, bu derslerin kredili olup olmadıkları, ders içerikleri ve süre sınırına bakılmaksızın yeterli başarı gösterilmiş ise öğrencilerin </w:t>
      </w:r>
      <w:r w:rsidRPr="00DB3274">
        <w:rPr>
          <w:rFonts w:ascii="Times New Roman" w:eastAsia="Times New Roman" w:hAnsi="Times New Roman" w:cs="Times New Roman"/>
          <w:bCs/>
          <w:sz w:val="24"/>
          <w:szCs w:val="24"/>
          <w:lang w:eastAsia="tr-TR"/>
        </w:rPr>
        <w:t>bu derslerden</w:t>
      </w:r>
      <w:r w:rsidRPr="00DB3274">
        <w:rPr>
          <w:rFonts w:ascii="Times New Roman" w:eastAsia="Times New Roman" w:hAnsi="Times New Roman" w:cs="Times New Roman"/>
          <w:sz w:val="24"/>
          <w:szCs w:val="24"/>
          <w:lang w:eastAsia="tr-TR"/>
        </w:rPr>
        <w:t xml:space="preserve"> muafiyet işlemleri ilgili birim tarafından yapılabilir. </w:t>
      </w:r>
    </w:p>
    <w:p w14:paraId="67575A05" w14:textId="064579CC" w:rsidR="00103641" w:rsidRPr="00DB3274" w:rsidRDefault="008A787A"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 </w:t>
      </w:r>
      <w:r w:rsidR="00103641" w:rsidRPr="00DB3274">
        <w:rPr>
          <w:rFonts w:ascii="Times New Roman" w:eastAsia="Times New Roman" w:hAnsi="Times New Roman" w:cs="Times New Roman"/>
          <w:sz w:val="24"/>
          <w:szCs w:val="24"/>
          <w:lang w:eastAsia="tr-TR"/>
        </w:rPr>
        <w:t>(</w:t>
      </w:r>
      <w:r w:rsidRPr="00DB3274">
        <w:rPr>
          <w:rFonts w:ascii="Times New Roman" w:eastAsia="Times New Roman" w:hAnsi="Times New Roman" w:cs="Times New Roman"/>
          <w:sz w:val="24"/>
          <w:szCs w:val="24"/>
          <w:lang w:eastAsia="tr-TR"/>
        </w:rPr>
        <w:t>6</w:t>
      </w:r>
      <w:r w:rsidR="00103641" w:rsidRPr="00DB3274">
        <w:rPr>
          <w:rFonts w:ascii="Times New Roman" w:eastAsia="Times New Roman" w:hAnsi="Times New Roman" w:cs="Times New Roman"/>
          <w:sz w:val="24"/>
          <w:szCs w:val="24"/>
          <w:lang w:eastAsia="tr-TR"/>
        </w:rPr>
        <w:t xml:space="preserve">) Muafiyet istenen dersin; zorunlu veya seçmeli olması durumuna veya adının eşdeğer sayılacak ders ile birebir aynı olmasına bakılmaksızın; eşit ve daha yüksek kredili </w:t>
      </w:r>
      <w:bookmarkStart w:id="0" w:name="_GoBack"/>
      <w:bookmarkEnd w:id="0"/>
      <w:r w:rsidR="002E2C47">
        <w:rPr>
          <w:rFonts w:ascii="Times New Roman" w:eastAsia="Times New Roman" w:hAnsi="Times New Roman" w:cs="Times New Roman"/>
          <w:sz w:val="24"/>
          <w:szCs w:val="24"/>
          <w:lang w:eastAsia="tr-TR"/>
        </w:rPr>
        <w:t xml:space="preserve">(AKTS dahil) </w:t>
      </w:r>
      <w:r w:rsidR="00103641" w:rsidRPr="00DB3274">
        <w:rPr>
          <w:rFonts w:ascii="Times New Roman" w:eastAsia="Times New Roman" w:hAnsi="Times New Roman" w:cs="Times New Roman"/>
          <w:sz w:val="24"/>
          <w:szCs w:val="24"/>
          <w:lang w:eastAsia="tr-TR"/>
        </w:rPr>
        <w:t>olması şartıyla ders içeriği yaklaşık olarak yüzde 80’in üzerinde uyumlu ise ilgili Bölüm Başkanlığınca değerlendirmeye alınabilir.</w:t>
      </w:r>
    </w:p>
    <w:p w14:paraId="1D25667B" w14:textId="16CEEBCB"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w:t>
      </w:r>
      <w:r w:rsidR="008A787A" w:rsidRPr="00DB3274">
        <w:rPr>
          <w:rFonts w:ascii="Times New Roman" w:eastAsia="Times New Roman" w:hAnsi="Times New Roman" w:cs="Times New Roman"/>
          <w:sz w:val="24"/>
          <w:szCs w:val="24"/>
          <w:lang w:eastAsia="tr-TR"/>
        </w:rPr>
        <w:t>7</w:t>
      </w:r>
      <w:r w:rsidRPr="00DB3274">
        <w:rPr>
          <w:rFonts w:ascii="Times New Roman" w:eastAsia="Times New Roman" w:hAnsi="Times New Roman" w:cs="Times New Roman"/>
          <w:sz w:val="24"/>
          <w:szCs w:val="24"/>
          <w:lang w:eastAsia="tr-TR"/>
        </w:rPr>
        <w:t>) Öğrenciler, daha önce almış ve başarmış oldukları bir dersin birden fazla derse karşılık muadil ders/derslerden muafiyet talebinde bulunması halinde, bu talebinin kabulüne dersi veren öğretim elemanının görüşü alınarak intibak komisyonu tarafından karar verilir.</w:t>
      </w:r>
    </w:p>
    <w:p w14:paraId="3ED94F68" w14:textId="6088CB4D"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Cs/>
          <w:sz w:val="24"/>
          <w:szCs w:val="24"/>
          <w:lang w:eastAsia="tr-TR"/>
        </w:rPr>
        <w:t>(</w:t>
      </w:r>
      <w:r w:rsidR="008A787A" w:rsidRPr="00DB3274">
        <w:rPr>
          <w:rFonts w:ascii="Times New Roman" w:eastAsia="Times New Roman" w:hAnsi="Times New Roman" w:cs="Times New Roman"/>
          <w:bCs/>
          <w:sz w:val="24"/>
          <w:szCs w:val="24"/>
          <w:lang w:eastAsia="tr-TR"/>
        </w:rPr>
        <w:t>8</w:t>
      </w:r>
      <w:r w:rsidRPr="00DB3274">
        <w:rPr>
          <w:rFonts w:ascii="Times New Roman" w:eastAsia="Times New Roman" w:hAnsi="Times New Roman" w:cs="Times New Roman"/>
          <w:bCs/>
          <w:sz w:val="24"/>
          <w:szCs w:val="24"/>
          <w:lang w:eastAsia="tr-TR"/>
        </w:rPr>
        <w:t>) Öğrenciler daha önce almış ve başarmış oldukları birden fazla derse karşılık, bir dersten muafiyet talebinde bulunabilirler. Bu şekildeki derslerin muafiyetlerinde başarı notları toplanıp, ortalaması alınarak transkriptlere işlenir.</w:t>
      </w:r>
    </w:p>
    <w:p w14:paraId="31C810A4" w14:textId="524D9CB9"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w:t>
      </w:r>
      <w:r w:rsidR="008A787A" w:rsidRPr="00DB3274">
        <w:rPr>
          <w:rFonts w:ascii="Times New Roman" w:eastAsia="Times New Roman" w:hAnsi="Times New Roman" w:cs="Times New Roman"/>
          <w:sz w:val="24"/>
          <w:szCs w:val="24"/>
          <w:lang w:eastAsia="tr-TR"/>
        </w:rPr>
        <w:t>9</w:t>
      </w:r>
      <w:r w:rsidRPr="00DB3274">
        <w:rPr>
          <w:rFonts w:ascii="Times New Roman" w:eastAsia="Times New Roman" w:hAnsi="Times New Roman" w:cs="Times New Roman"/>
          <w:sz w:val="24"/>
          <w:szCs w:val="24"/>
          <w:lang w:eastAsia="tr-TR"/>
        </w:rPr>
        <w:t>) Muafiyet talebinde bulunulan dersin; uzaktan eğitim veya açıköğretim olması muafiyete engel teşkil etmez.</w:t>
      </w:r>
    </w:p>
    <w:p w14:paraId="63331E78" w14:textId="4D8B831A"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0</w:t>
      </w:r>
      <w:r w:rsidRPr="00DB3274">
        <w:rPr>
          <w:rFonts w:ascii="Times New Roman" w:eastAsia="Times New Roman" w:hAnsi="Times New Roman" w:cs="Times New Roman"/>
          <w:sz w:val="24"/>
          <w:szCs w:val="24"/>
          <w:lang w:eastAsia="tr-TR"/>
        </w:rPr>
        <w:t>) Daha önceki yükseköğretim kurumlarında Türkçe olarak alınmış derslerin, Üniversitemizde İngilizce olarak okutulan derslere muaf sayılmasıyla ilgili kararda tamamen ilgili birimin yönetim kurulu yetkilidir.</w:t>
      </w:r>
    </w:p>
    <w:p w14:paraId="3B24D8F5" w14:textId="0A18D398"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lastRenderedPageBreak/>
        <w:t>(1</w:t>
      </w:r>
      <w:r w:rsidR="008A787A"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sz w:val="24"/>
          <w:szCs w:val="24"/>
          <w:lang w:eastAsia="tr-TR"/>
        </w:rPr>
        <w:t xml:space="preserve">) Öğrencinin Çift Ana dal/Yan dal programında aldığı dersler öğrencinin ana dalından muaf sayılmaz. </w:t>
      </w:r>
    </w:p>
    <w:p w14:paraId="0FA3F00C" w14:textId="6A00F49C"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2</w:t>
      </w:r>
      <w:r w:rsidRPr="00DB3274">
        <w:rPr>
          <w:rFonts w:ascii="Times New Roman" w:eastAsia="Times New Roman" w:hAnsi="Times New Roman" w:cs="Times New Roman"/>
          <w:sz w:val="24"/>
          <w:szCs w:val="24"/>
          <w:lang w:eastAsia="tr-TR"/>
        </w:rPr>
        <w:t>) Lisans programı dersleri lisansüstü programları derslerinden muafiyet için başvuruya konu edilemez. Yüksek lisans programı dersleri doktora programı derslerinden muafiyet için başvuruya konu edilemez.</w:t>
      </w:r>
    </w:p>
    <w:p w14:paraId="1F3CA2F3" w14:textId="551EFE5C"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3</w:t>
      </w:r>
      <w:r w:rsidRPr="00DB3274">
        <w:rPr>
          <w:rFonts w:ascii="Times New Roman" w:eastAsia="Times New Roman" w:hAnsi="Times New Roman" w:cs="Times New Roman"/>
          <w:sz w:val="24"/>
          <w:szCs w:val="24"/>
          <w:lang w:eastAsia="tr-TR"/>
        </w:rPr>
        <w:t>) Ön şartlı ve bağlantılı derslerden muafiyet verilebilmesi için, dersin ön şartının yerine getirilmiş olması veya bağlantılı dersin başarılması gerekir.</w:t>
      </w:r>
    </w:p>
    <w:p w14:paraId="74440CA8" w14:textId="24861656"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4</w:t>
      </w:r>
      <w:r w:rsidRPr="00DB3274">
        <w:rPr>
          <w:rFonts w:ascii="Times New Roman" w:eastAsia="Times New Roman" w:hAnsi="Times New Roman" w:cs="Times New Roman"/>
          <w:sz w:val="24"/>
          <w:szCs w:val="24"/>
          <w:lang w:eastAsia="tr-TR"/>
        </w:rPr>
        <w:t>) Muaf olunması talep edilen dersin başarı notu, harf notu olarak değil de “Muaf”, Geçer”, “Yeterli”, “Başarılı” vb. terimler ile belirtilmişse ve ilgili dersin başarı notu olarak “CC”  harf notu kullanılır.</w:t>
      </w:r>
    </w:p>
    <w:p w14:paraId="71A674B3" w14:textId="585684D2"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5</w:t>
      </w:r>
      <w:r w:rsidRPr="00DB3274">
        <w:rPr>
          <w:rFonts w:ascii="Times New Roman" w:eastAsia="Times New Roman" w:hAnsi="Times New Roman" w:cs="Times New Roman"/>
          <w:sz w:val="24"/>
          <w:szCs w:val="24"/>
          <w:lang w:eastAsia="tr-TR"/>
        </w:rPr>
        <w:t xml:space="preserve">) Aynı anda bir ön lisans ve lisans öğrenimine devam eden öğrenciler, kayıtlı olduğu programlardan birinden almış oldukları dersleri, diğer programın eşdeğer derslerine karşılık muafiyet talebinde bulunamazlar. </w:t>
      </w:r>
    </w:p>
    <w:p w14:paraId="19D7F7FB" w14:textId="47AD5B28"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6</w:t>
      </w:r>
      <w:r w:rsidRPr="00DB3274">
        <w:rPr>
          <w:rFonts w:ascii="Times New Roman" w:eastAsia="Times New Roman" w:hAnsi="Times New Roman" w:cs="Times New Roman"/>
          <w:sz w:val="24"/>
          <w:szCs w:val="24"/>
          <w:lang w:eastAsia="tr-TR"/>
        </w:rPr>
        <w:t xml:space="preserve">) Seminer, her türlü proje, laboratuvar, tez gibi </w:t>
      </w:r>
      <w:r w:rsidRPr="00DB3274">
        <w:rPr>
          <w:rFonts w:ascii="Times New Roman" w:eastAsia="Times New Roman" w:hAnsi="Times New Roman" w:cs="Times New Roman"/>
          <w:bCs/>
          <w:sz w:val="24"/>
          <w:szCs w:val="24"/>
          <w:lang w:eastAsia="tr-TR"/>
        </w:rPr>
        <w:t>tamamen uygulamalı</w:t>
      </w:r>
      <w:r w:rsidRPr="00DB3274">
        <w:rPr>
          <w:rFonts w:ascii="Times New Roman" w:eastAsia="Times New Roman" w:hAnsi="Times New Roman" w:cs="Times New Roman"/>
          <w:sz w:val="24"/>
          <w:szCs w:val="24"/>
          <w:lang w:eastAsia="tr-TR"/>
        </w:rPr>
        <w:t xml:space="preserve"> derslerden ve içeriğinde, işleyişinde alanla ilgili uygulama yeterlikleri bulunan derslerden muafiyet talep edilemez. </w:t>
      </w:r>
    </w:p>
    <w:p w14:paraId="0D5122E4" w14:textId="6703E586" w:rsidR="00103641" w:rsidRPr="00DB3274" w:rsidRDefault="00103641" w:rsidP="00DB3274">
      <w:pPr>
        <w:spacing w:after="120" w:line="240" w:lineRule="auto"/>
        <w:ind w:firstLine="720"/>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(1</w:t>
      </w:r>
      <w:r w:rsidR="008A787A" w:rsidRPr="00DB3274">
        <w:rPr>
          <w:rFonts w:ascii="Times New Roman" w:eastAsia="Times New Roman" w:hAnsi="Times New Roman" w:cs="Times New Roman"/>
          <w:sz w:val="24"/>
          <w:szCs w:val="24"/>
          <w:lang w:eastAsia="tr-TR"/>
        </w:rPr>
        <w:t>7</w:t>
      </w:r>
      <w:r w:rsidRPr="00DB3274">
        <w:rPr>
          <w:rFonts w:ascii="Times New Roman" w:eastAsia="Times New Roman" w:hAnsi="Times New Roman" w:cs="Times New Roman"/>
          <w:sz w:val="24"/>
          <w:szCs w:val="24"/>
          <w:lang w:eastAsia="tr-TR"/>
        </w:rPr>
        <w:t>) Önlisans, lisans, yüksek lisans ve doktora öğretim programlarında yeni derslerin açılması veya devam edilen öğretim programlarında güncelleme olması durumunda, daha önce muafiyet talebinde bulunulmayan dersten/derslerden muafiyet talebinde bulunabilirler.</w:t>
      </w:r>
    </w:p>
    <w:p w14:paraId="296DB3AC"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Not dönüşümü</w:t>
      </w:r>
    </w:p>
    <w:p w14:paraId="70929CD5" w14:textId="77777777" w:rsidR="00103641" w:rsidRPr="00DB3274" w:rsidRDefault="00103641" w:rsidP="00DB3274">
      <w:pPr>
        <w:suppressAutoHyphens/>
        <w:spacing w:after="120" w:line="240" w:lineRule="auto"/>
        <w:ind w:left="142" w:firstLine="578"/>
        <w:jc w:val="both"/>
        <w:rPr>
          <w:rFonts w:ascii="Times New Roman" w:eastAsia="SimSun" w:hAnsi="Times New Roman" w:cs="Times New Roman"/>
          <w:kern w:val="1"/>
          <w:sz w:val="24"/>
          <w:szCs w:val="24"/>
          <w:lang w:eastAsia="ar-SA"/>
        </w:rPr>
      </w:pPr>
      <w:r w:rsidRPr="00DB3274">
        <w:rPr>
          <w:rFonts w:ascii="Times New Roman" w:eastAsia="SimSun" w:hAnsi="Times New Roman" w:cs="Times New Roman"/>
          <w:b/>
          <w:kern w:val="1"/>
          <w:sz w:val="24"/>
          <w:szCs w:val="24"/>
          <w:lang w:eastAsia="ar-SA"/>
        </w:rPr>
        <w:t xml:space="preserve">MADDE 8 – </w:t>
      </w:r>
      <w:r w:rsidRPr="00DB3274">
        <w:rPr>
          <w:rFonts w:ascii="Times New Roman" w:eastAsia="SimSun" w:hAnsi="Times New Roman" w:cs="Times New Roman"/>
          <w:kern w:val="1"/>
          <w:sz w:val="24"/>
          <w:szCs w:val="24"/>
          <w:lang w:eastAsia="ar-SA"/>
        </w:rPr>
        <w:t>(1)</w:t>
      </w:r>
      <w:r w:rsidRPr="00DB3274">
        <w:rPr>
          <w:rFonts w:ascii="Times New Roman" w:eastAsia="SimSun" w:hAnsi="Times New Roman" w:cs="Times New Roman"/>
          <w:b/>
          <w:kern w:val="1"/>
          <w:sz w:val="24"/>
          <w:szCs w:val="24"/>
          <w:lang w:eastAsia="ar-SA"/>
        </w:rPr>
        <w:t xml:space="preserve"> </w:t>
      </w:r>
      <w:r w:rsidRPr="00DB3274">
        <w:rPr>
          <w:rFonts w:ascii="Times New Roman" w:eastAsia="SimSun" w:hAnsi="Times New Roman" w:cs="Times New Roman"/>
          <w:kern w:val="1"/>
          <w:sz w:val="24"/>
          <w:szCs w:val="24"/>
          <w:lang w:eastAsia="ar-SA"/>
        </w:rPr>
        <w:t>Aynı not sisteminde alınan ve muafiyet verilen derslerin notları dönüşüm yapılmaksızın muafiyet/intibak formuna işlenir.</w:t>
      </w:r>
    </w:p>
    <w:p w14:paraId="43977EEE" w14:textId="77777777" w:rsidR="00103641" w:rsidRPr="00DB3274" w:rsidRDefault="00103641" w:rsidP="00DB3274">
      <w:pPr>
        <w:numPr>
          <w:ilvl w:val="0"/>
          <w:numId w:val="3"/>
        </w:numPr>
        <w:suppressAutoHyphens/>
        <w:spacing w:after="120" w:line="240" w:lineRule="auto"/>
        <w:jc w:val="both"/>
        <w:rPr>
          <w:rFonts w:ascii="Times New Roman" w:eastAsia="SimSun" w:hAnsi="Times New Roman" w:cs="Times New Roman"/>
          <w:kern w:val="1"/>
          <w:sz w:val="24"/>
          <w:szCs w:val="24"/>
          <w:lang w:eastAsia="ar-SA"/>
        </w:rPr>
      </w:pPr>
      <w:r w:rsidRPr="00DB3274">
        <w:rPr>
          <w:rFonts w:ascii="Times New Roman" w:eastAsia="SimSun" w:hAnsi="Times New Roman" w:cs="Times New Roman"/>
          <w:kern w:val="1"/>
          <w:sz w:val="24"/>
          <w:szCs w:val="24"/>
          <w:lang w:eastAsia="ar-SA"/>
        </w:rPr>
        <w:t>Farklı not sistemlerinden aktarılacak notlar için;</w:t>
      </w:r>
    </w:p>
    <w:p w14:paraId="25ED4B80" w14:textId="77777777" w:rsidR="00103641" w:rsidRPr="00DB3274" w:rsidRDefault="00103641" w:rsidP="00DB3274">
      <w:pPr>
        <w:numPr>
          <w:ilvl w:val="0"/>
          <w:numId w:val="2"/>
        </w:numPr>
        <w:suppressAutoHyphens/>
        <w:spacing w:after="120" w:line="240" w:lineRule="auto"/>
        <w:ind w:left="142" w:firstLine="284"/>
        <w:jc w:val="both"/>
        <w:rPr>
          <w:rFonts w:ascii="Times New Roman" w:eastAsia="SimSun" w:hAnsi="Times New Roman" w:cs="Times New Roman"/>
          <w:kern w:val="1"/>
          <w:sz w:val="24"/>
          <w:szCs w:val="24"/>
          <w:lang w:eastAsia="ar-SA"/>
        </w:rPr>
      </w:pPr>
      <w:r w:rsidRPr="00DB3274">
        <w:rPr>
          <w:rFonts w:ascii="Times New Roman" w:eastAsia="SimSun" w:hAnsi="Times New Roman" w:cs="Times New Roman"/>
          <w:kern w:val="1"/>
          <w:sz w:val="24"/>
          <w:szCs w:val="24"/>
          <w:lang w:eastAsia="ar-SA"/>
        </w:rPr>
        <w:t>Dörtlük notu bulunuyorsa (GNO’su 4 üzerinden ise), Hasan Kalyoncu Üniversitesi Önlisans ve Lisans Eğitim-Öğretim ve Sınav Yönetmeliği’nin 32 üncü maddesinde tanımlanan başarı notuna karşılık gelen harf notu muafiyet/intibak formuna yazılır.</w:t>
      </w:r>
    </w:p>
    <w:p w14:paraId="1B763B94" w14:textId="77777777" w:rsidR="00103641" w:rsidRPr="00DB3274" w:rsidRDefault="00103641" w:rsidP="00DB3274">
      <w:pPr>
        <w:numPr>
          <w:ilvl w:val="0"/>
          <w:numId w:val="2"/>
        </w:numPr>
        <w:suppressAutoHyphens/>
        <w:spacing w:after="120" w:line="240" w:lineRule="auto"/>
        <w:ind w:left="142" w:firstLine="284"/>
        <w:jc w:val="both"/>
        <w:rPr>
          <w:rFonts w:ascii="Times New Roman" w:eastAsia="SimSun" w:hAnsi="Times New Roman" w:cs="Times New Roman"/>
          <w:kern w:val="1"/>
          <w:sz w:val="24"/>
          <w:szCs w:val="24"/>
          <w:lang w:eastAsia="ar-SA"/>
        </w:rPr>
      </w:pPr>
      <w:r w:rsidRPr="00DB3274">
        <w:rPr>
          <w:rFonts w:ascii="Times New Roman" w:eastAsia="SimSun" w:hAnsi="Times New Roman" w:cs="Times New Roman"/>
          <w:kern w:val="1"/>
          <w:sz w:val="24"/>
          <w:szCs w:val="24"/>
          <w:lang w:eastAsia="ar-SA"/>
        </w:rPr>
        <w:t>Yüzlük notu bulunuyorsa (GNO’su 100 üzerinden ise), YÖK dönüşüm tablosuna göre 4’lük sisteme çevrilerek Hasan Kalyoncu Üniversitesi Önlisans ve Lisans Eğitim-Öğretim ve Sınav Yönetmeliği’nin 32 üncü maddesinde ve Hasan Kalyoncu Üniversitesi Lisansüstü Eğitim-Öğretim ve Sınav Yönetmeliği’nin 13 üncü maddesinde tanımlanan başarı notuna karşılık gelen harf notu muafiyet/intibak formuna yazılır.</w:t>
      </w:r>
    </w:p>
    <w:p w14:paraId="21D85A95" w14:textId="77777777" w:rsidR="00103641" w:rsidRPr="00DB3274" w:rsidRDefault="00103641" w:rsidP="00DB3274">
      <w:pPr>
        <w:numPr>
          <w:ilvl w:val="0"/>
          <w:numId w:val="2"/>
        </w:numPr>
        <w:suppressAutoHyphens/>
        <w:spacing w:after="120" w:line="240" w:lineRule="auto"/>
        <w:ind w:left="142" w:firstLine="284"/>
        <w:jc w:val="both"/>
        <w:rPr>
          <w:rFonts w:ascii="Times New Roman" w:eastAsia="SimSun" w:hAnsi="Times New Roman" w:cs="Times New Roman"/>
          <w:kern w:val="1"/>
          <w:sz w:val="24"/>
          <w:szCs w:val="24"/>
          <w:lang w:eastAsia="ar-SA"/>
        </w:rPr>
      </w:pPr>
      <w:r w:rsidRPr="00DB3274">
        <w:rPr>
          <w:rFonts w:ascii="Times New Roman" w:eastAsia="SimSun" w:hAnsi="Times New Roman" w:cs="Times New Roman"/>
          <w:kern w:val="1"/>
          <w:sz w:val="24"/>
          <w:szCs w:val="24"/>
          <w:lang w:eastAsia="ar-SA"/>
        </w:rPr>
        <w:t>Her iki durumda başarı notu olarak Hasan Kalyoncu Üniversitesi Önlisans ve Lisans Eğitim-Öğretim ve Sınav Yönetmeliği’nin 32 üncü maddesindeki ve Hasan Kalyoncu Üniversitesi Lisansüstü Eğitim-Öğretim ve Sınav Yönetmeliği’nin 13 üncü maddesindeki tanımlanan başarı notuna karşılık gelen harf notu aralığının en yüksek puanı verilir.</w:t>
      </w:r>
    </w:p>
    <w:p w14:paraId="22206878"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 xml:space="preserve">Hazırlık muafiyet esasları </w:t>
      </w:r>
    </w:p>
    <w:p w14:paraId="505478CB"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MADDE 9</w:t>
      </w:r>
      <w:r w:rsidRPr="00DB3274">
        <w:rPr>
          <w:rFonts w:ascii="Times New Roman" w:eastAsia="Times New Roman" w:hAnsi="Times New Roman" w:cs="Times New Roman"/>
          <w:bCs/>
          <w:sz w:val="24"/>
          <w:szCs w:val="24"/>
          <w:lang w:eastAsia="tr-TR"/>
        </w:rPr>
        <w:t xml:space="preserve"> – </w:t>
      </w:r>
      <w:r w:rsidRPr="00DB3274">
        <w:rPr>
          <w:rFonts w:ascii="Times New Roman" w:eastAsia="Times New Roman" w:hAnsi="Times New Roman" w:cs="Times New Roman"/>
          <w:sz w:val="24"/>
          <w:szCs w:val="24"/>
          <w:lang w:eastAsia="tr-TR"/>
        </w:rPr>
        <w:t xml:space="preserve">(1) Hasan Kalyoncu Üniversitesi'ne kayıt yaptıran öğrencilerin hazırlık sınıfından muaf olabilmeleri için, o yılki akademik takvimde ilan edilen Yeterlik Sınavına girip başarılı olmaları veya Yükseköğretim Kurulu Başkanlığı ve Yabancı Diller Yüksek Okulu tarafından eşdeğerliği kabul edilen ulusal ve uluslararası sınavlardan geçerli puanı elde etmeleri gerekir. </w:t>
      </w:r>
    </w:p>
    <w:p w14:paraId="53AADC3C"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(2) Bu maddenin birinci fıkrasındaki koşulları sağlayan öğrenciler lisans programlarına başlayabilirler. Başarısız olan öğrenciler Hazırlık Sınıfına devam ederler.</w:t>
      </w:r>
    </w:p>
    <w:p w14:paraId="2C8AD39E"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lastRenderedPageBreak/>
        <w:t xml:space="preserve">İntibak yarıyıl/yıllarının tespiti </w:t>
      </w:r>
    </w:p>
    <w:p w14:paraId="64E51BE1" w14:textId="77777777" w:rsidR="00103641" w:rsidRPr="00DB3274" w:rsidRDefault="00103641" w:rsidP="00DB3274">
      <w:pPr>
        <w:spacing w:after="120" w:line="240" w:lineRule="auto"/>
        <w:ind w:firstLine="709"/>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sz w:val="24"/>
          <w:szCs w:val="24"/>
          <w:lang w:eastAsia="tr-TR"/>
        </w:rPr>
        <w:t xml:space="preserve">MADDE 10 </w:t>
      </w:r>
      <w:r w:rsidRPr="00DB3274">
        <w:rPr>
          <w:rFonts w:ascii="Times New Roman" w:eastAsia="Times New Roman" w:hAnsi="Times New Roman" w:cs="Times New Roman"/>
          <w:sz w:val="24"/>
          <w:szCs w:val="24"/>
          <w:lang w:eastAsia="tr-TR"/>
        </w:rPr>
        <w:t xml:space="preserve">– (1) Üniversiteye ÖSYM tarafından yerleştirilen veya merkezi yerleştirme puanına göre yatay geçiş ile gelen veya DGS (Dikey Geçiş Sınavı) ile gelen öğrencilerin muaf olacakları dersler belirlendikten sonra sınıf intibakları yapılır. Sınıf intibakında şu yol izlenir: daha önce öğrenim gördüğü yükseköğretim kurumunda başarılı olduğu derslerden muafiyet isteği kabul edilen öğrencilerin; ikinci sınıfa intibak yapılabilmesi için öğrencinin, öğretim planında bulunan en az 45 AKTS, üçüncü sınıfa intibak yapılabilmesi için en az 90 AKTS kredilik dersten muaf tutulması gerekir. Muafiyet komisyonları üst sınıflara intibaklarda tüm zorunlu derslerden muaf olma şartı arayabilir. </w:t>
      </w:r>
    </w:p>
    <w:p w14:paraId="2B05091E" w14:textId="45248F67" w:rsidR="00103641" w:rsidRPr="00DB3274" w:rsidRDefault="00DB3274"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 </w:t>
      </w:r>
      <w:r w:rsidR="00103641" w:rsidRPr="00DB3274">
        <w:rPr>
          <w:rFonts w:ascii="Times New Roman" w:eastAsia="Times New Roman" w:hAnsi="Times New Roman" w:cs="Times New Roman"/>
          <w:sz w:val="24"/>
          <w:szCs w:val="24"/>
          <w:lang w:eastAsia="tr-TR"/>
        </w:rPr>
        <w:t>(2) Kurumlar arası yatay geçişle (başarı durumuna göre) kayıt yaptıran öğrencilerin intibakları, yatay geçiş yaptıkları sınıfın ilgili yarıyılına/yılına yapılır.</w:t>
      </w:r>
    </w:p>
    <w:p w14:paraId="7B3B7C17"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(3) Yarıyıl/yıl intibakı yapılan öğrencinin mezuniyetine kadar yarıyıl/yıl intibakı değiştirilemez.</w:t>
      </w:r>
    </w:p>
    <w:p w14:paraId="129B3670"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İtiraz</w:t>
      </w:r>
    </w:p>
    <w:p w14:paraId="67842D1E" w14:textId="77777777" w:rsidR="00103641" w:rsidRPr="00DB3274" w:rsidRDefault="00103641" w:rsidP="00DB3274">
      <w:pPr>
        <w:spacing w:after="120" w:line="240" w:lineRule="auto"/>
        <w:ind w:firstLine="709"/>
        <w:jc w:val="both"/>
        <w:rPr>
          <w:rFonts w:ascii="Times New Roman" w:eastAsia="Times New Roman" w:hAnsi="Times New Roman" w:cs="Times New Roman"/>
          <w:b/>
          <w:sz w:val="24"/>
          <w:szCs w:val="24"/>
          <w:lang w:eastAsia="tr-TR"/>
        </w:rPr>
      </w:pPr>
      <w:r w:rsidRPr="00DB3274">
        <w:rPr>
          <w:rFonts w:ascii="Times New Roman" w:eastAsia="Times New Roman" w:hAnsi="Times New Roman" w:cs="Times New Roman"/>
          <w:b/>
          <w:sz w:val="24"/>
          <w:szCs w:val="24"/>
          <w:lang w:eastAsia="tr-TR"/>
        </w:rPr>
        <w:t xml:space="preserve">MADDE 11 – </w:t>
      </w:r>
      <w:r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b/>
          <w:sz w:val="24"/>
          <w:szCs w:val="24"/>
          <w:lang w:eastAsia="tr-TR"/>
        </w:rPr>
        <w:t xml:space="preserve">) </w:t>
      </w:r>
      <w:r w:rsidRPr="00DB3274">
        <w:rPr>
          <w:rFonts w:ascii="Times New Roman" w:eastAsia="Times New Roman" w:hAnsi="Times New Roman" w:cs="Times New Roman"/>
          <w:sz w:val="24"/>
          <w:szCs w:val="24"/>
          <w:lang w:eastAsia="tr-TR"/>
        </w:rPr>
        <w:t>Muafiyet ve intibakla ilgili, Birim Yönetim Kurulu kararı Öğrenci Bilgi Sistemine işlendiği gün öğrenciye tebliğ edilmiş sayılır. Muafiyet ve intibak işlemleri hakkındaki kararlara yönelik itirazlar, Birim Yönetim Kurulu kararının Öğrenci Bilgi Sistemine işlendiği tarihten itibaren 5 (beş) iş günü içinde ilgili birime yapılır.</w:t>
      </w:r>
    </w:p>
    <w:p w14:paraId="54C3CE36" w14:textId="77777777" w:rsidR="00103641" w:rsidRPr="00DB3274" w:rsidRDefault="00103641" w:rsidP="00DB3274">
      <w:pPr>
        <w:numPr>
          <w:ilvl w:val="0"/>
          <w:numId w:val="4"/>
        </w:numPr>
        <w:spacing w:after="120" w:line="240" w:lineRule="auto"/>
        <w:ind w:left="709" w:hanging="283"/>
        <w:contextualSpacing/>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 xml:space="preserve"> İlgili yönetim kurulu, itiraz başvurularını görüşerek en geç 5 (beş) iş günü içerisinde</w:t>
      </w:r>
    </w:p>
    <w:p w14:paraId="76CAC02F" w14:textId="77777777" w:rsidR="00103641" w:rsidRPr="00DB3274" w:rsidRDefault="00103641" w:rsidP="00DB3274">
      <w:pPr>
        <w:spacing w:after="120" w:line="240" w:lineRule="auto"/>
        <w:contextualSpacing/>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sz w:val="24"/>
          <w:szCs w:val="24"/>
          <w:lang w:eastAsia="tr-TR"/>
        </w:rPr>
        <w:t>son kararını ilgili birimlere ve öğrenciye bildirir.</w:t>
      </w:r>
    </w:p>
    <w:p w14:paraId="5B3BD1B8" w14:textId="77777777" w:rsidR="00103641" w:rsidRPr="00DB3274" w:rsidRDefault="00103641" w:rsidP="00DB3274">
      <w:pPr>
        <w:spacing w:after="120" w:line="240" w:lineRule="auto"/>
        <w:ind w:left="2062"/>
        <w:contextualSpacing/>
        <w:jc w:val="both"/>
        <w:rPr>
          <w:rFonts w:ascii="Times New Roman" w:eastAsia="Times New Roman" w:hAnsi="Times New Roman" w:cs="Times New Roman"/>
          <w:sz w:val="24"/>
          <w:szCs w:val="24"/>
          <w:lang w:eastAsia="tr-TR"/>
        </w:rPr>
      </w:pPr>
    </w:p>
    <w:p w14:paraId="357E0517"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Hüküm bulunmayan haller</w:t>
      </w:r>
    </w:p>
    <w:p w14:paraId="3E960751" w14:textId="77777777" w:rsidR="00103641" w:rsidRPr="00DB3274"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MADDE 12 –  </w:t>
      </w:r>
      <w:r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b/>
          <w:bCs/>
          <w:sz w:val="24"/>
          <w:szCs w:val="24"/>
          <w:lang w:eastAsia="tr-TR"/>
        </w:rPr>
        <w:t xml:space="preserve"> </w:t>
      </w:r>
      <w:r w:rsidRPr="00DB3274">
        <w:rPr>
          <w:rFonts w:ascii="Times New Roman" w:eastAsia="Times New Roman" w:hAnsi="Times New Roman" w:cs="Times New Roman"/>
          <w:sz w:val="24"/>
          <w:szCs w:val="24"/>
          <w:lang w:eastAsia="tr-TR"/>
        </w:rPr>
        <w:t>Bu Yönergede hüküm bulunmayan hallerde Hasan Kalyoncu Üniversitesi Önlisans ve Lisans Eğitim-Öğretim ve Sınav Yönetmeliği ile Hasan Kalyoncu Üniversitesi Lisansüstü Eğitim-Öğretim ve Sınav Yönetmeliği, ilgili diğer mevzuat hükümleri ve Senato kararları uygulanır.</w:t>
      </w:r>
    </w:p>
    <w:p w14:paraId="473C9B0F"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Yürürlük</w:t>
      </w:r>
    </w:p>
    <w:p w14:paraId="7B15625E" w14:textId="77777777" w:rsidR="00103641" w:rsidRPr="00DB3274" w:rsidRDefault="00103641" w:rsidP="00DB3274">
      <w:pPr>
        <w:spacing w:after="120" w:line="240" w:lineRule="auto"/>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           MADDE 13 – </w:t>
      </w:r>
      <w:r w:rsidRPr="00DB3274">
        <w:rPr>
          <w:rFonts w:ascii="Times New Roman" w:eastAsia="Times New Roman" w:hAnsi="Times New Roman" w:cs="Times New Roman"/>
          <w:sz w:val="24"/>
          <w:szCs w:val="24"/>
          <w:lang w:eastAsia="tr-TR"/>
        </w:rPr>
        <w:t>(1)</w:t>
      </w:r>
      <w:r w:rsidRPr="00DB3274">
        <w:rPr>
          <w:rFonts w:ascii="Times New Roman" w:eastAsia="Times New Roman" w:hAnsi="Times New Roman" w:cs="Times New Roman"/>
          <w:b/>
          <w:bCs/>
          <w:sz w:val="24"/>
          <w:szCs w:val="24"/>
          <w:lang w:eastAsia="tr-TR"/>
        </w:rPr>
        <w:t xml:space="preserve"> </w:t>
      </w:r>
      <w:r w:rsidRPr="00DB3274">
        <w:rPr>
          <w:rFonts w:ascii="Times New Roman" w:eastAsia="Times New Roman" w:hAnsi="Times New Roman" w:cs="Times New Roman"/>
          <w:sz w:val="24"/>
          <w:szCs w:val="24"/>
          <w:lang w:eastAsia="tr-TR"/>
        </w:rPr>
        <w:t>Bu Yönerge, Hasan Kalyoncu Üniversitesi Senatosunda kabul edildiği tarihten itibaren yürürlüğe girer.</w:t>
      </w:r>
    </w:p>
    <w:p w14:paraId="011D63B1" w14:textId="77777777" w:rsidR="00103641" w:rsidRPr="00DB3274" w:rsidRDefault="00103641" w:rsidP="00DB3274">
      <w:pPr>
        <w:keepNext/>
        <w:spacing w:after="120" w:line="240" w:lineRule="auto"/>
        <w:ind w:left="708"/>
        <w:jc w:val="both"/>
        <w:outlineLvl w:val="0"/>
        <w:rPr>
          <w:rFonts w:ascii="Times New Roman" w:eastAsia="Times New Roman" w:hAnsi="Times New Roman" w:cs="Times New Roman"/>
          <w:b/>
          <w:sz w:val="24"/>
          <w:szCs w:val="24"/>
          <w:shd w:val="clear" w:color="auto" w:fill="FFFFFF"/>
          <w:lang w:eastAsia="tr-TR"/>
        </w:rPr>
      </w:pPr>
      <w:r w:rsidRPr="00DB3274">
        <w:rPr>
          <w:rFonts w:ascii="Times New Roman" w:eastAsia="Times New Roman" w:hAnsi="Times New Roman" w:cs="Times New Roman"/>
          <w:b/>
          <w:sz w:val="24"/>
          <w:szCs w:val="24"/>
          <w:shd w:val="clear" w:color="auto" w:fill="FFFFFF"/>
          <w:lang w:eastAsia="tr-TR"/>
        </w:rPr>
        <w:t>Yürütme</w:t>
      </w:r>
    </w:p>
    <w:p w14:paraId="5F8634F9" w14:textId="77777777" w:rsidR="00103641" w:rsidRPr="00103641" w:rsidRDefault="00103641" w:rsidP="00DB3274">
      <w:pPr>
        <w:spacing w:after="120" w:line="240" w:lineRule="auto"/>
        <w:ind w:firstLine="708"/>
        <w:jc w:val="both"/>
        <w:rPr>
          <w:rFonts w:ascii="Times New Roman" w:eastAsia="Times New Roman" w:hAnsi="Times New Roman" w:cs="Times New Roman"/>
          <w:sz w:val="24"/>
          <w:szCs w:val="24"/>
          <w:lang w:eastAsia="tr-TR"/>
        </w:rPr>
      </w:pPr>
      <w:r w:rsidRPr="00DB3274">
        <w:rPr>
          <w:rFonts w:ascii="Times New Roman" w:eastAsia="Times New Roman" w:hAnsi="Times New Roman" w:cs="Times New Roman"/>
          <w:b/>
          <w:bCs/>
          <w:sz w:val="24"/>
          <w:szCs w:val="24"/>
          <w:lang w:eastAsia="tr-TR"/>
        </w:rPr>
        <w:t xml:space="preserve">MADDE 14 – </w:t>
      </w:r>
      <w:r w:rsidRPr="00DB3274">
        <w:rPr>
          <w:rFonts w:ascii="Times New Roman" w:eastAsia="Times New Roman" w:hAnsi="Times New Roman" w:cs="Times New Roman"/>
          <w:sz w:val="24"/>
          <w:szCs w:val="24"/>
          <w:lang w:eastAsia="tr-TR"/>
        </w:rPr>
        <w:t>(1) Bu Yönerge hükümlerini Hasan Kalyoncu Üniversitesi Rektörü yürütür.</w:t>
      </w:r>
    </w:p>
    <w:p w14:paraId="3AAB0CB9" w14:textId="77777777" w:rsidR="00DC142F" w:rsidRDefault="00DC142F" w:rsidP="00DB3274"/>
    <w:sectPr w:rsidR="00DC142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90D5E" w14:textId="77777777" w:rsidR="003461F7" w:rsidRDefault="003461F7" w:rsidP="00AE5A85">
      <w:pPr>
        <w:spacing w:after="0" w:line="240" w:lineRule="auto"/>
      </w:pPr>
      <w:r>
        <w:separator/>
      </w:r>
    </w:p>
  </w:endnote>
  <w:endnote w:type="continuationSeparator" w:id="0">
    <w:p w14:paraId="7CB195F1" w14:textId="77777777" w:rsidR="003461F7" w:rsidRDefault="003461F7" w:rsidP="00AE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3610D" w14:textId="77777777" w:rsidR="003461F7" w:rsidRDefault="003461F7" w:rsidP="00AE5A85">
      <w:pPr>
        <w:spacing w:after="0" w:line="240" w:lineRule="auto"/>
      </w:pPr>
      <w:r>
        <w:separator/>
      </w:r>
    </w:p>
  </w:footnote>
  <w:footnote w:type="continuationSeparator" w:id="0">
    <w:p w14:paraId="3D3F128F" w14:textId="77777777" w:rsidR="003461F7" w:rsidRDefault="003461F7" w:rsidP="00AE5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C3A3" w14:textId="382B2187" w:rsidR="00AE5A85" w:rsidRPr="00F25F29" w:rsidRDefault="00AE5A85" w:rsidP="00AE5A85">
    <w:pPr>
      <w:pStyle w:val="stBilgi"/>
      <w:rPr>
        <w:rFonts w:ascii="Times New Roman" w:hAnsi="Times New Roman" w:cs="Times New Roman"/>
        <w:i/>
        <w:sz w:val="24"/>
      </w:rPr>
    </w:pPr>
    <w:r w:rsidRPr="00F25F29">
      <w:rPr>
        <w:rFonts w:ascii="Times New Roman" w:hAnsi="Times New Roman" w:cs="Times New Roman"/>
        <w:i/>
        <w:sz w:val="24"/>
      </w:rPr>
      <w:t>21.05.2024 Tarihli 2024-08 Toplantı Nolu 1-B Nolu Sayılı Senato Kararı</w:t>
    </w:r>
    <w:r w:rsidR="00F25F29" w:rsidRPr="00F25F29">
      <w:rPr>
        <w:rFonts w:ascii="Times New Roman" w:hAnsi="Times New Roman" w:cs="Times New Roman"/>
        <w:i/>
        <w:sz w:val="24"/>
      </w:rPr>
      <w:t xml:space="preserve"> ile kabul edilmiştir.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A05"/>
    <w:multiLevelType w:val="hybridMultilevel"/>
    <w:tmpl w:val="59EC0B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006846"/>
    <w:multiLevelType w:val="hybridMultilevel"/>
    <w:tmpl w:val="207C8C5C"/>
    <w:lvl w:ilvl="0" w:tplc="2A5C6B56">
      <w:start w:val="1"/>
      <w:numFmt w:val="lowerLetter"/>
      <w:lvlText w:val="%1)"/>
      <w:lvlJc w:val="left"/>
      <w:pPr>
        <w:ind w:left="1683" w:hanging="97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0083A78"/>
    <w:multiLevelType w:val="hybridMultilevel"/>
    <w:tmpl w:val="BE8C7C2A"/>
    <w:lvl w:ilvl="0" w:tplc="D3F869B4">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C1F74F2"/>
    <w:multiLevelType w:val="hybridMultilevel"/>
    <w:tmpl w:val="53C29414"/>
    <w:lvl w:ilvl="0" w:tplc="14767416">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2063AC7"/>
    <w:multiLevelType w:val="hybridMultilevel"/>
    <w:tmpl w:val="613498EC"/>
    <w:lvl w:ilvl="0" w:tplc="041F0017">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5E"/>
    <w:rsid w:val="00065764"/>
    <w:rsid w:val="00103641"/>
    <w:rsid w:val="002304AA"/>
    <w:rsid w:val="002E2C47"/>
    <w:rsid w:val="003461F7"/>
    <w:rsid w:val="00433F78"/>
    <w:rsid w:val="00483694"/>
    <w:rsid w:val="00483F87"/>
    <w:rsid w:val="005C533B"/>
    <w:rsid w:val="00602ABB"/>
    <w:rsid w:val="006451FC"/>
    <w:rsid w:val="008A1EA9"/>
    <w:rsid w:val="008A787A"/>
    <w:rsid w:val="00995EF8"/>
    <w:rsid w:val="00AE5A85"/>
    <w:rsid w:val="00DB3274"/>
    <w:rsid w:val="00DC142F"/>
    <w:rsid w:val="00ED7A5E"/>
    <w:rsid w:val="00EF2C29"/>
    <w:rsid w:val="00F25F29"/>
    <w:rsid w:val="00F57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7DFC"/>
  <w15:chartTrackingRefBased/>
  <w15:docId w15:val="{6701EE44-A613-4441-A8EC-6736F313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103641"/>
    <w:rPr>
      <w:sz w:val="16"/>
      <w:szCs w:val="16"/>
    </w:rPr>
  </w:style>
  <w:style w:type="paragraph" w:styleId="AklamaMetni">
    <w:name w:val="annotation text"/>
    <w:basedOn w:val="Normal"/>
    <w:link w:val="AklamaMetniChar"/>
    <w:uiPriority w:val="99"/>
    <w:unhideWhenUsed/>
    <w:rsid w:val="00103641"/>
    <w:pPr>
      <w:spacing w:after="200" w:line="240" w:lineRule="auto"/>
    </w:pPr>
    <w:rPr>
      <w:rFonts w:ascii="Calibri" w:eastAsia="Times New Roman" w:hAnsi="Calibri" w:cs="Times New Roman"/>
      <w:sz w:val="20"/>
      <w:szCs w:val="20"/>
      <w:lang w:eastAsia="tr-TR"/>
    </w:rPr>
  </w:style>
  <w:style w:type="character" w:customStyle="1" w:styleId="AklamaMetniChar">
    <w:name w:val="Açıklama Metni Char"/>
    <w:basedOn w:val="VarsaylanParagrafYazTipi"/>
    <w:link w:val="AklamaMetni"/>
    <w:uiPriority w:val="99"/>
    <w:rsid w:val="00103641"/>
    <w:rPr>
      <w:rFonts w:ascii="Calibri" w:eastAsia="Times New Roman" w:hAnsi="Calibri" w:cs="Times New Roman"/>
      <w:sz w:val="20"/>
      <w:szCs w:val="20"/>
      <w:lang w:eastAsia="tr-TR"/>
    </w:rPr>
  </w:style>
  <w:style w:type="paragraph" w:styleId="ListeParagraf">
    <w:name w:val="List Paragraph"/>
    <w:basedOn w:val="Normal"/>
    <w:uiPriority w:val="34"/>
    <w:qFormat/>
    <w:rsid w:val="00103641"/>
    <w:pPr>
      <w:ind w:left="720"/>
      <w:contextualSpacing/>
    </w:pPr>
  </w:style>
  <w:style w:type="paragraph" w:styleId="BalonMetni">
    <w:name w:val="Balloon Text"/>
    <w:basedOn w:val="Normal"/>
    <w:link w:val="BalonMetniChar"/>
    <w:uiPriority w:val="99"/>
    <w:semiHidden/>
    <w:unhideWhenUsed/>
    <w:rsid w:val="008A1EA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1EA9"/>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433F78"/>
    <w:pPr>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433F78"/>
    <w:rPr>
      <w:rFonts w:ascii="Calibri" w:eastAsia="Times New Roman" w:hAnsi="Calibri" w:cs="Times New Roman"/>
      <w:b/>
      <w:bCs/>
      <w:sz w:val="20"/>
      <w:szCs w:val="20"/>
      <w:lang w:eastAsia="tr-TR"/>
    </w:rPr>
  </w:style>
  <w:style w:type="character" w:customStyle="1" w:styleId="il">
    <w:name w:val="il"/>
    <w:basedOn w:val="VarsaylanParagrafYazTipi"/>
    <w:rsid w:val="00483F87"/>
  </w:style>
  <w:style w:type="table" w:styleId="TabloKlavuzu">
    <w:name w:val="Table Grid"/>
    <w:basedOn w:val="NormalTablo"/>
    <w:uiPriority w:val="39"/>
    <w:rsid w:val="00065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E5A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5A85"/>
  </w:style>
  <w:style w:type="paragraph" w:styleId="AltBilgi">
    <w:name w:val="footer"/>
    <w:basedOn w:val="Normal"/>
    <w:link w:val="AltBilgiChar"/>
    <w:uiPriority w:val="99"/>
    <w:unhideWhenUsed/>
    <w:rsid w:val="00AE5A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5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80316">
      <w:bodyDiv w:val="1"/>
      <w:marLeft w:val="0"/>
      <w:marRight w:val="0"/>
      <w:marTop w:val="0"/>
      <w:marBottom w:val="0"/>
      <w:divBdr>
        <w:top w:val="none" w:sz="0" w:space="0" w:color="auto"/>
        <w:left w:val="none" w:sz="0" w:space="0" w:color="auto"/>
        <w:bottom w:val="none" w:sz="0" w:space="0" w:color="auto"/>
        <w:right w:val="none" w:sz="0" w:space="0" w:color="auto"/>
      </w:divBdr>
    </w:div>
    <w:div w:id="18697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2062</Words>
  <Characters>11757</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Merve ATESGIL</dc:creator>
  <cp:keywords/>
  <dc:description/>
  <cp:lastModifiedBy>Ozgul TAN</cp:lastModifiedBy>
  <cp:revision>9</cp:revision>
  <dcterms:created xsi:type="dcterms:W3CDTF">2024-03-28T08:11:00Z</dcterms:created>
  <dcterms:modified xsi:type="dcterms:W3CDTF">2024-09-19T09:15:00Z</dcterms:modified>
</cp:coreProperties>
</file>